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EC" w:rsidRDefault="00F75DEC" w:rsidP="00F75DEC">
      <w:pPr>
        <w:spacing w:after="0" w:line="240" w:lineRule="auto"/>
        <w:rPr>
          <w:rFonts w:ascii="Centaur" w:hAnsi="Centaur"/>
          <w:noProof/>
        </w:rPr>
      </w:pPr>
    </w:p>
    <w:p w:rsidR="00F75DEC" w:rsidRDefault="00FD722C" w:rsidP="00F75DEC">
      <w:pPr>
        <w:spacing w:after="0" w:line="240" w:lineRule="auto"/>
        <w:ind w:left="-993" w:firstLine="284"/>
        <w:rPr>
          <w:rFonts w:ascii="Centaur" w:hAnsi="Centaur"/>
          <w:noProof/>
        </w:rPr>
      </w:pPr>
      <w:r>
        <w:rPr>
          <w:rFonts w:ascii="Centaur" w:hAnsi="Centaur"/>
          <w:noProof/>
        </w:rPr>
        <w:drawing>
          <wp:anchor distT="0" distB="0" distL="114300" distR="114300" simplePos="0" relativeHeight="251660288" behindDoc="1" locked="0" layoutInCell="1" allowOverlap="1">
            <wp:simplePos x="0" y="0"/>
            <wp:positionH relativeFrom="column">
              <wp:posOffset>6628765</wp:posOffset>
            </wp:positionH>
            <wp:positionV relativeFrom="paragraph">
              <wp:posOffset>709930</wp:posOffset>
            </wp:positionV>
            <wp:extent cx="246380" cy="8475980"/>
            <wp:effectExtent l="0" t="0" r="0" b="0"/>
            <wp:wrapNone/>
            <wp:docPr id="4" name="Obje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6221" cy="8438529"/>
                      <a:chOff x="3109299" y="-1182608"/>
                      <a:chExt cx="246221" cy="8438529"/>
                    </a:xfrm>
                  </a:grpSpPr>
                  <a:sp>
                    <a:nvSpPr>
                      <a:cNvPr id="1025" name="Rectangle 1"/>
                      <a:cNvSpPr>
                        <a:spLocks noChangeArrowheads="1"/>
                      </a:cNvSpPr>
                    </a:nvSpPr>
                    <a:spPr bwMode="auto">
                      <a:xfrm rot="16200000">
                        <a:off x="-986855" y="2913546"/>
                        <a:ext cx="8438529" cy="246221"/>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180975" algn="l" defTabSz="914400" rtl="0" eaLnBrk="1" fontAlgn="base" latinLnBrk="0" hangingPunct="1">
                            <a:lnSpc>
                              <a:spcPct val="100000"/>
                            </a:lnSpc>
                            <a:spcBef>
                              <a:spcPct val="0"/>
                            </a:spcBef>
                            <a:spcAft>
                              <a:spcPct val="0"/>
                            </a:spcAft>
                            <a:buClrTx/>
                            <a:buSzTx/>
                            <a:buFontTx/>
                            <a:buNone/>
                            <a:tabLst>
                              <a:tab pos="2700338" algn="ctr"/>
                              <a:tab pos="5400675" algn="r"/>
                            </a:tabLst>
                          </a:pPr>
                          <a:r>
                            <a:rPr kumimoji="0" lang="es-ES" sz="1000" b="1" i="0" u="none" strike="noStrike" cap="none" normalizeH="0" baseline="0" dirty="0" smtClean="0">
                              <a:ln>
                                <a:noFill/>
                              </a:ln>
                              <a:solidFill>
                                <a:srgbClr val="FF0000"/>
                              </a:solidFill>
                              <a:effectLst/>
                              <a:ea typeface="Times New Roman" pitchFamily="18" charset="0"/>
                              <a:cs typeface="Calibri" pitchFamily="34" charset="0"/>
                            </a:rPr>
                            <a:t>©</a:t>
                          </a:r>
                          <a:r>
                            <a:rPr kumimoji="0" lang="es-ES" sz="1000" b="1" i="0" u="none" strike="noStrike" cap="none" normalizeH="0" baseline="0" dirty="0" smtClean="0">
                              <a:ln>
                                <a:noFill/>
                              </a:ln>
                              <a:solidFill>
                                <a:srgbClr val="FF0000"/>
                              </a:solidFill>
                              <a:effectLst/>
                              <a:ea typeface="Times New Roman" pitchFamily="18" charset="0"/>
                              <a:cs typeface="Times New Roman" pitchFamily="18" charset="0"/>
                            </a:rPr>
                            <a:t> Oficina de Información Diplomática  </a:t>
                          </a:r>
                          <a:r>
                            <a:rPr kumimoji="0" lang="es-ES" sz="1000" b="1" i="0" u="none" strike="noStrike" cap="none" normalizeH="0" baseline="0" dirty="0" smtClean="0">
                              <a:ln>
                                <a:noFill/>
                              </a:ln>
                              <a:solidFill>
                                <a:srgbClr val="E36C0A"/>
                              </a:solidFill>
                              <a:effectLst/>
                              <a:ea typeface="Times New Roman" pitchFamily="18" charset="0"/>
                              <a:cs typeface="Times New Roman" pitchFamily="18" charset="0"/>
                            </a:rPr>
                            <a:t>/ Ministerio de Asuntos Exteriores y Cooperación</a:t>
                          </a:r>
                          <a:r>
                            <a:rPr kumimoji="0" lang="es-ES" sz="1000" b="1" i="0" u="none" strike="noStrike" cap="none" normalizeH="0" baseline="0" dirty="0" smtClean="0">
                              <a:ln>
                                <a:noFill/>
                              </a:ln>
                              <a:solidFill>
                                <a:schemeClr val="tx1"/>
                              </a:solidFill>
                              <a:effectLst/>
                              <a:ea typeface="Times New Roman" pitchFamily="18" charset="0"/>
                              <a:cs typeface="Times New Roman" pitchFamily="18" charset="0"/>
                            </a:rPr>
                            <a:t>  /  </a:t>
                          </a:r>
                          <a:r>
                            <a:rPr kumimoji="0" lang="es-ES" sz="1000" b="1" i="0" u="none" strike="noStrike" cap="none" normalizeH="0" baseline="0" dirty="0" err="1" smtClean="0">
                              <a:ln>
                                <a:noFill/>
                              </a:ln>
                              <a:solidFill>
                                <a:schemeClr val="tx1"/>
                              </a:solidFill>
                              <a:effectLst/>
                              <a:ea typeface="Times New Roman" pitchFamily="18" charset="0"/>
                              <a:cs typeface="Times New Roman" pitchFamily="18" charset="0"/>
                              <a:hlinkClick r:id="rId6"/>
                            </a:rPr>
                            <a:t>informaciondiplomatica@gmail.com</a:t>
                          </a:r>
                          <a:r>
                            <a:rPr kumimoji="0" lang="es-ES" sz="1000" b="1" i="0" u="none" strike="noStrike" cap="none" normalizeH="0" baseline="0" dirty="0" smtClean="0">
                              <a:ln>
                                <a:noFill/>
                              </a:ln>
                              <a:solidFill>
                                <a:schemeClr val="tx1"/>
                              </a:solidFill>
                              <a:effectLst/>
                              <a:ea typeface="Times New Roman" pitchFamily="18" charset="0"/>
                              <a:cs typeface="Times New Roman" pitchFamily="18" charset="0"/>
                            </a:rPr>
                            <a:t> / Tel. +240 222 501 405</a:t>
                          </a:r>
                          <a:endParaRPr kumimoji="0" lang="es-ES" sz="2400" b="0" i="0" u="none" strike="noStrike" cap="none" normalizeH="0" baseline="0" dirty="0" smtClean="0">
                            <a:ln>
                              <a:noFill/>
                            </a:ln>
                            <a:solidFill>
                              <a:schemeClr val="tx1"/>
                            </a:solidFill>
                            <a:effectLst/>
                            <a:cs typeface="Arial" pitchFamily="34" charset="0"/>
                          </a:endParaRPr>
                        </a:p>
                      </a:txBody>
                      <a:useSpRect/>
                    </a:txSp>
                  </a:sp>
                </lc:lockedCanvas>
              </a:graphicData>
            </a:graphic>
          </wp:anchor>
        </w:drawing>
      </w:r>
      <w:r w:rsidR="00F75DEC">
        <w:rPr>
          <w:rFonts w:ascii="Centaur" w:hAnsi="Centaur"/>
          <w:noProof/>
        </w:rPr>
        <w:t xml:space="preserve"> </w:t>
      </w:r>
      <w:r w:rsidR="00F75DEC" w:rsidRPr="007E30D6">
        <w:rPr>
          <w:rFonts w:ascii="Centaur" w:hAnsi="Centaur"/>
          <w:noProof/>
        </w:rPr>
        <w:t xml:space="preserve"> </w:t>
      </w:r>
      <w:r w:rsidR="00F75DEC">
        <w:rPr>
          <w:rFonts w:ascii="Centaur" w:hAnsi="Centaur"/>
          <w:noProof/>
        </w:rPr>
        <w:t xml:space="preserve">       </w:t>
      </w:r>
      <w:r w:rsidR="00F75DEC" w:rsidRPr="007E30D6">
        <w:rPr>
          <w:rFonts w:ascii="Centaur" w:hAnsi="Centaur"/>
          <w:noProof/>
        </w:rPr>
        <w:t xml:space="preserve">  </w:t>
      </w:r>
      <w:r w:rsidR="00F75DEC">
        <w:rPr>
          <w:rFonts w:ascii="Centaur" w:hAnsi="Centaur"/>
          <w:noProof/>
        </w:rPr>
        <w:t xml:space="preserve">   </w:t>
      </w:r>
      <w:r w:rsidR="00F75DEC" w:rsidRPr="007E30D6">
        <w:rPr>
          <w:rFonts w:ascii="Centaur" w:hAnsi="Centaur"/>
          <w:noProof/>
        </w:rPr>
        <w:t xml:space="preserve">     </w:t>
      </w:r>
      <w:r w:rsidR="00F75DEC">
        <w:rPr>
          <w:rFonts w:ascii="Centaur" w:hAnsi="Centaur"/>
          <w:noProof/>
        </w:rPr>
        <w:t xml:space="preserve">                     </w:t>
      </w:r>
      <w:r w:rsidR="00F75DEC" w:rsidRPr="007E30D6">
        <w:rPr>
          <w:rFonts w:ascii="Centaur" w:hAnsi="Centaur"/>
          <w:noProof/>
        </w:rPr>
        <w:drawing>
          <wp:inline distT="0" distB="0" distL="0" distR="0">
            <wp:extent cx="743885" cy="532932"/>
            <wp:effectExtent l="1905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_guinea_ecuatorial.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68904" cy="550856"/>
                    </a:xfrm>
                    <a:prstGeom prst="rect">
                      <a:avLst/>
                    </a:prstGeom>
                  </pic:spPr>
                </pic:pic>
              </a:graphicData>
            </a:graphic>
          </wp:inline>
        </w:drawing>
      </w:r>
    </w:p>
    <w:p w:rsidR="00F75DEC" w:rsidRDefault="00F75DEC" w:rsidP="00F75DEC">
      <w:pPr>
        <w:spacing w:after="0" w:line="240" w:lineRule="auto"/>
        <w:rPr>
          <w:rFonts w:ascii="Centaur" w:hAnsi="Centaur"/>
          <w:b/>
          <w:i/>
          <w:sz w:val="32"/>
          <w:szCs w:val="32"/>
        </w:rPr>
      </w:pPr>
      <w:r>
        <w:rPr>
          <w:rFonts w:ascii="Centaur" w:hAnsi="Centaur"/>
          <w:b/>
          <w:i/>
          <w:noProof/>
          <w:sz w:val="32"/>
          <w:szCs w:val="32"/>
        </w:rPr>
        <w:t xml:space="preserve"> </w:t>
      </w:r>
      <w:r w:rsidRPr="007E30D6">
        <w:rPr>
          <w:rFonts w:ascii="Centaur" w:hAnsi="Centaur"/>
          <w:b/>
          <w:i/>
          <w:sz w:val="32"/>
          <w:szCs w:val="32"/>
        </w:rPr>
        <w:t>República de Guinea Ecuatoria</w:t>
      </w:r>
      <w:r>
        <w:rPr>
          <w:rFonts w:ascii="Centaur" w:hAnsi="Centaur"/>
          <w:b/>
          <w:i/>
          <w:sz w:val="32"/>
          <w:szCs w:val="32"/>
        </w:rPr>
        <w:t>l</w:t>
      </w:r>
    </w:p>
    <w:p w:rsidR="00F75DEC" w:rsidRPr="009B5ACA" w:rsidRDefault="00F75DEC" w:rsidP="00F75DEC">
      <w:pPr>
        <w:spacing w:after="0" w:line="240" w:lineRule="auto"/>
        <w:rPr>
          <w:rFonts w:ascii="Centaur" w:hAnsi="Centaur"/>
          <w:b/>
          <w:i/>
          <w:sz w:val="32"/>
          <w:szCs w:val="32"/>
        </w:rPr>
      </w:pPr>
      <w:r w:rsidRPr="007E30D6">
        <w:rPr>
          <w:rFonts w:ascii="Centaur" w:hAnsi="Centaur"/>
          <w:b/>
          <w:i/>
          <w:sz w:val="24"/>
          <w:szCs w:val="24"/>
        </w:rPr>
        <w:t xml:space="preserve">Ministerio de Asuntos Exteriores y Cooperación  </w:t>
      </w:r>
      <w:r>
        <w:rPr>
          <w:rFonts w:ascii="Centaur" w:hAnsi="Centaur"/>
          <w:b/>
          <w:i/>
          <w:sz w:val="24"/>
          <w:szCs w:val="24"/>
        </w:rPr>
        <w:t xml:space="preserve">                         </w:t>
      </w:r>
      <w:r>
        <w:rPr>
          <w:rFonts w:ascii="Centaur" w:hAnsi="Centaur"/>
          <w:b/>
          <w:i/>
          <w:noProof/>
          <w:sz w:val="24"/>
          <w:szCs w:val="24"/>
        </w:rPr>
        <w:t xml:space="preserve">                            </w:t>
      </w:r>
    </w:p>
    <w:p w:rsidR="00F75DEC" w:rsidRDefault="00F75DEC" w:rsidP="00F75DEC">
      <w:pPr>
        <w:spacing w:after="0" w:line="240" w:lineRule="auto"/>
        <w:ind w:left="-993" w:firstLine="284"/>
        <w:rPr>
          <w:rFonts w:ascii="Centaur" w:hAnsi="Centaur"/>
        </w:rPr>
      </w:pPr>
      <w:r w:rsidRPr="007E30D6">
        <w:rPr>
          <w:rFonts w:ascii="Centaur" w:hAnsi="Centaur"/>
        </w:rPr>
        <w:t xml:space="preserve">             </w:t>
      </w:r>
      <w:r>
        <w:rPr>
          <w:rFonts w:ascii="Centaur" w:hAnsi="Centaur"/>
        </w:rPr>
        <w:t xml:space="preserve">             </w:t>
      </w:r>
      <w:r w:rsidRPr="007E30D6">
        <w:rPr>
          <w:rFonts w:ascii="Centaur" w:hAnsi="Centaur"/>
        </w:rPr>
        <w:t xml:space="preserve"> -----------------------------</w:t>
      </w:r>
    </w:p>
    <w:p w:rsidR="00F75DEC" w:rsidRDefault="00F75DEC" w:rsidP="00F75DEC">
      <w:pPr>
        <w:spacing w:after="0" w:line="240" w:lineRule="auto"/>
        <w:ind w:left="-993" w:firstLine="284"/>
        <w:rPr>
          <w:rFonts w:ascii="Centaur" w:hAnsi="Centaur"/>
          <w:b/>
          <w:sz w:val="24"/>
          <w:szCs w:val="24"/>
          <w:u w:val="single"/>
        </w:rPr>
      </w:pPr>
      <w:r w:rsidRPr="00923387">
        <w:rPr>
          <w:rFonts w:ascii="Centaur" w:hAnsi="Centaur"/>
          <w:b/>
        </w:rPr>
        <w:t xml:space="preserve">       </w:t>
      </w:r>
      <w:r w:rsidRPr="00923387">
        <w:rPr>
          <w:rFonts w:ascii="Centaur" w:hAnsi="Centaur"/>
          <w:b/>
          <w:sz w:val="24"/>
          <w:szCs w:val="24"/>
          <w:u w:val="single"/>
        </w:rPr>
        <w:t>Oficina de Información y Comunicación Diplomática</w:t>
      </w:r>
    </w:p>
    <w:p w:rsidR="00752E38" w:rsidRDefault="00752E38" w:rsidP="00F75DEC">
      <w:pPr>
        <w:spacing w:after="0" w:line="240" w:lineRule="auto"/>
        <w:ind w:left="-993" w:firstLine="284"/>
        <w:rPr>
          <w:rFonts w:ascii="Centaur" w:hAnsi="Centaur"/>
          <w:b/>
          <w:sz w:val="24"/>
          <w:szCs w:val="24"/>
          <w:u w:val="single"/>
        </w:rPr>
      </w:pPr>
    </w:p>
    <w:p w:rsidR="00EE61F3" w:rsidRPr="002C697E" w:rsidRDefault="008027BA" w:rsidP="00BE6A40">
      <w:pPr>
        <w:spacing w:after="0" w:line="240" w:lineRule="auto"/>
        <w:jc w:val="center"/>
        <w:rPr>
          <w:b/>
          <w:sz w:val="34"/>
          <w:szCs w:val="34"/>
        </w:rPr>
      </w:pPr>
      <w:r>
        <w:rPr>
          <w:b/>
          <w:sz w:val="34"/>
          <w:szCs w:val="34"/>
        </w:rPr>
        <w:t xml:space="preserve">El embajador de la República de  Guinea se despide de Exteriores tras finalizar su misión </w:t>
      </w:r>
    </w:p>
    <w:p w:rsidR="008027BA" w:rsidRPr="002C09BB" w:rsidRDefault="00F05D83" w:rsidP="00BE6A40">
      <w:pPr>
        <w:spacing w:after="0" w:line="240" w:lineRule="auto"/>
        <w:ind w:left="-142"/>
        <w:jc w:val="both"/>
        <w:rPr>
          <w:rFonts w:cstheme="minorHAnsi"/>
          <w:sz w:val="25"/>
          <w:szCs w:val="25"/>
        </w:rPr>
      </w:pPr>
      <w:r>
        <w:rPr>
          <w:rFonts w:cstheme="minorHAnsi"/>
          <w:sz w:val="25"/>
          <w:szCs w:val="25"/>
        </w:rPr>
        <w:pict>
          <v:rect id="_x0000_s1026" style="position:absolute;left:0;text-align:left;margin-left:-90.35pt;margin-top:414.35pt;width:247.65pt;height:47pt;rotation:-90;z-index:-251659264;mso-position-horizontal-relative:page;mso-position-vertical-relative:page;v-text-anchor:middle" o:allowincell="f" fillcolor="white [3212]" strokecolor="white [3212]" strokeweight="1pt">
            <v:fill opacity="52429f"/>
            <v:shadow on="t" type="perspective" color="#4f81bd [3204]" opacity=".5" origin="-.5,-.5" offset="-41pt,-49pt" offset2="-70pt,-86pt" matrix=".75,,,.75"/>
            <v:textbox style="layout-flow:vertical;mso-layout-flow-alt:bottom-to-top;mso-next-textbox:#_x0000_s1026" inset="1in,7.2pt,,7.2pt">
              <w:txbxContent>
                <w:p w:rsidR="00F75DEC" w:rsidRPr="004A78AB" w:rsidRDefault="00F75DEC" w:rsidP="00F75DEC">
                  <w:pPr>
                    <w:rPr>
                      <w:rFonts w:asciiTheme="majorHAnsi" w:eastAsiaTheme="majorEastAsia" w:hAnsiTheme="majorHAnsi" w:cstheme="majorBidi"/>
                      <w:b/>
                      <w:bCs/>
                      <w:sz w:val="38"/>
                      <w:szCs w:val="38"/>
                      <w:u w:val="single"/>
                    </w:rPr>
                  </w:pPr>
                  <w:r w:rsidRPr="004A78AB">
                    <w:rPr>
                      <w:rFonts w:asciiTheme="majorHAnsi" w:eastAsiaTheme="majorEastAsia" w:hAnsiTheme="majorHAnsi" w:cstheme="majorBidi"/>
                      <w:b/>
                      <w:bCs/>
                      <w:sz w:val="38"/>
                      <w:szCs w:val="38"/>
                    </w:rPr>
                    <w:t xml:space="preserve">                                                                   </w:t>
                  </w:r>
                  <w:r w:rsidRPr="004A78AB">
                    <w:rPr>
                      <w:rFonts w:asciiTheme="majorHAnsi" w:eastAsiaTheme="majorEastAsia" w:hAnsiTheme="majorHAnsi" w:cstheme="majorBidi"/>
                      <w:b/>
                      <w:bCs/>
                      <w:sz w:val="38"/>
                      <w:szCs w:val="38"/>
                      <w:u w:val="single"/>
                    </w:rPr>
                    <w:t xml:space="preserve">NOTA  DE  PRENSA </w:t>
                  </w:r>
                </w:p>
              </w:txbxContent>
            </v:textbox>
            <w10:wrap type="square" anchorx="page" anchory="page"/>
          </v:rect>
        </w:pict>
      </w:r>
      <w:r>
        <w:rPr>
          <w:rFonts w:cstheme="minorHAnsi"/>
          <w:sz w:val="25"/>
          <w:szCs w:val="25"/>
        </w:rPr>
        <w:pict>
          <v:rect id="_x0000_s1027" style="position:absolute;left:0;text-align:left;margin-left:-90.35pt;margin-top:414.35pt;width:247.65pt;height:47pt;rotation:-90;z-index:-251658240;mso-position-horizontal-relative:page;mso-position-vertical-relative:page;v-text-anchor:middle" o:allowincell="f" fillcolor="white [3212]" strokecolor="white [3212]" strokeweight="1pt">
            <v:fill opacity="52429f"/>
            <v:shadow on="t" type="perspective" color="#4f81bd [3204]" opacity=".5" origin="-.5,-.5" offset="-41pt,-49pt" offset2="-70pt,-86pt" matrix=".75,,,.75"/>
            <v:textbox style="layout-flow:vertical;mso-layout-flow-alt:bottom-to-top;mso-next-textbox:#_x0000_s1027" inset="1in,7.2pt,,7.2pt">
              <w:txbxContent>
                <w:p w:rsidR="00F75DEC" w:rsidRPr="004A78AB" w:rsidRDefault="00F75DEC" w:rsidP="00F75DEC">
                  <w:pPr>
                    <w:rPr>
                      <w:rFonts w:asciiTheme="majorHAnsi" w:eastAsiaTheme="majorEastAsia" w:hAnsiTheme="majorHAnsi" w:cstheme="majorBidi"/>
                      <w:b/>
                      <w:bCs/>
                      <w:sz w:val="38"/>
                      <w:szCs w:val="38"/>
                      <w:u w:val="single"/>
                    </w:rPr>
                  </w:pPr>
                  <w:r w:rsidRPr="004A78AB">
                    <w:rPr>
                      <w:rFonts w:asciiTheme="majorHAnsi" w:eastAsiaTheme="majorEastAsia" w:hAnsiTheme="majorHAnsi" w:cstheme="majorBidi"/>
                      <w:b/>
                      <w:bCs/>
                      <w:sz w:val="38"/>
                      <w:szCs w:val="38"/>
                    </w:rPr>
                    <w:t xml:space="preserve">                                                                   </w:t>
                  </w:r>
                  <w:r w:rsidRPr="004A78AB">
                    <w:rPr>
                      <w:rFonts w:asciiTheme="majorHAnsi" w:eastAsiaTheme="majorEastAsia" w:hAnsiTheme="majorHAnsi" w:cstheme="majorBidi"/>
                      <w:b/>
                      <w:bCs/>
                      <w:sz w:val="38"/>
                      <w:szCs w:val="38"/>
                      <w:u w:val="single"/>
                    </w:rPr>
                    <w:t xml:space="preserve">NOTA  DE  PRENSA </w:t>
                  </w:r>
                </w:p>
              </w:txbxContent>
            </v:textbox>
            <w10:wrap type="square" anchorx="page" anchory="page"/>
          </v:rect>
        </w:pict>
      </w:r>
      <w:r w:rsidR="00D326F2" w:rsidRPr="002C09BB">
        <w:rPr>
          <w:rFonts w:cstheme="minorHAnsi"/>
          <w:sz w:val="25"/>
          <w:szCs w:val="25"/>
        </w:rPr>
        <w:t>E</w:t>
      </w:r>
      <w:r w:rsidR="00980A33" w:rsidRPr="002C09BB">
        <w:rPr>
          <w:rFonts w:cstheme="minorHAnsi"/>
          <w:sz w:val="25"/>
          <w:szCs w:val="25"/>
        </w:rPr>
        <w:t>l</w:t>
      </w:r>
      <w:r w:rsidR="00EE61F3" w:rsidRPr="002C09BB">
        <w:rPr>
          <w:rFonts w:cstheme="minorHAnsi"/>
          <w:sz w:val="25"/>
          <w:szCs w:val="25"/>
        </w:rPr>
        <w:t xml:space="preserve"> </w:t>
      </w:r>
      <w:r w:rsidR="008027BA" w:rsidRPr="002C09BB">
        <w:rPr>
          <w:rFonts w:cstheme="minorHAnsi"/>
          <w:sz w:val="25"/>
          <w:szCs w:val="25"/>
        </w:rPr>
        <w:t xml:space="preserve">embajador de la República de Guinea </w:t>
      </w:r>
      <w:proofErr w:type="spellStart"/>
      <w:r w:rsidR="008027BA" w:rsidRPr="002C09BB">
        <w:rPr>
          <w:rFonts w:cstheme="minorHAnsi"/>
          <w:b/>
          <w:sz w:val="25"/>
          <w:szCs w:val="25"/>
        </w:rPr>
        <w:t>Seik</w:t>
      </w:r>
      <w:r w:rsidR="00514516" w:rsidRPr="002C09BB">
        <w:rPr>
          <w:rFonts w:cstheme="minorHAnsi"/>
          <w:b/>
          <w:sz w:val="25"/>
          <w:szCs w:val="25"/>
        </w:rPr>
        <w:t>h</w:t>
      </w:r>
      <w:r w:rsidR="008027BA" w:rsidRPr="002C09BB">
        <w:rPr>
          <w:rFonts w:cstheme="minorHAnsi"/>
          <w:b/>
          <w:sz w:val="25"/>
          <w:szCs w:val="25"/>
        </w:rPr>
        <w:t>ou</w:t>
      </w:r>
      <w:proofErr w:type="spellEnd"/>
      <w:r w:rsidR="008027BA" w:rsidRPr="002C09BB">
        <w:rPr>
          <w:rFonts w:cstheme="minorHAnsi"/>
          <w:b/>
          <w:sz w:val="25"/>
          <w:szCs w:val="25"/>
        </w:rPr>
        <w:t xml:space="preserve"> </w:t>
      </w:r>
      <w:proofErr w:type="spellStart"/>
      <w:r w:rsidR="008027BA" w:rsidRPr="002C09BB">
        <w:rPr>
          <w:rFonts w:cstheme="minorHAnsi"/>
          <w:b/>
          <w:sz w:val="25"/>
          <w:szCs w:val="25"/>
        </w:rPr>
        <w:t>Amadou</w:t>
      </w:r>
      <w:proofErr w:type="spellEnd"/>
      <w:r w:rsidR="008027BA" w:rsidRPr="002C09BB">
        <w:rPr>
          <w:rFonts w:cstheme="minorHAnsi"/>
          <w:b/>
          <w:sz w:val="25"/>
          <w:szCs w:val="25"/>
        </w:rPr>
        <w:t xml:space="preserve"> </w:t>
      </w:r>
      <w:proofErr w:type="spellStart"/>
      <w:r w:rsidR="008027BA" w:rsidRPr="002C09BB">
        <w:rPr>
          <w:rFonts w:cstheme="minorHAnsi"/>
          <w:b/>
          <w:sz w:val="25"/>
          <w:szCs w:val="25"/>
        </w:rPr>
        <w:t>Tiany</w:t>
      </w:r>
      <w:proofErr w:type="spellEnd"/>
      <w:r w:rsidR="008027BA" w:rsidRPr="002C09BB">
        <w:rPr>
          <w:rFonts w:cstheme="minorHAnsi"/>
          <w:b/>
          <w:sz w:val="25"/>
          <w:szCs w:val="25"/>
        </w:rPr>
        <w:t xml:space="preserve"> </w:t>
      </w:r>
      <w:proofErr w:type="spellStart"/>
      <w:r w:rsidR="008027BA" w:rsidRPr="002C09BB">
        <w:rPr>
          <w:rFonts w:cstheme="minorHAnsi"/>
          <w:b/>
          <w:sz w:val="25"/>
          <w:szCs w:val="25"/>
        </w:rPr>
        <w:t>Doumbouya</w:t>
      </w:r>
      <w:proofErr w:type="spellEnd"/>
      <w:r w:rsidR="008027BA" w:rsidRPr="002C09BB">
        <w:rPr>
          <w:rFonts w:cstheme="minorHAnsi"/>
          <w:sz w:val="25"/>
          <w:szCs w:val="25"/>
        </w:rPr>
        <w:t xml:space="preserve"> quien presentó sus Cartas Credenciales al jefe de Estado ecuatoguineano el 15 de diciembre de 2011, se ha despedido </w:t>
      </w:r>
      <w:r w:rsidR="00993A82">
        <w:rPr>
          <w:rFonts w:cstheme="minorHAnsi"/>
          <w:sz w:val="25"/>
          <w:szCs w:val="25"/>
        </w:rPr>
        <w:t xml:space="preserve">como marcan las formalidades diplomáticas, </w:t>
      </w:r>
      <w:r w:rsidR="008027BA" w:rsidRPr="002C09BB">
        <w:rPr>
          <w:rFonts w:cstheme="minorHAnsi"/>
          <w:sz w:val="25"/>
          <w:szCs w:val="25"/>
        </w:rPr>
        <w:t>del máximo responsable del ministerio de Asuntos Exteriores y Cooperación</w:t>
      </w:r>
      <w:r w:rsidR="00F279EF" w:rsidRPr="002C09BB">
        <w:rPr>
          <w:rFonts w:cstheme="minorHAnsi"/>
          <w:sz w:val="25"/>
          <w:szCs w:val="25"/>
        </w:rPr>
        <w:t>,</w:t>
      </w:r>
      <w:r w:rsidR="008027BA" w:rsidRPr="002C09BB">
        <w:rPr>
          <w:rFonts w:cstheme="minorHAnsi"/>
          <w:sz w:val="25"/>
          <w:szCs w:val="25"/>
        </w:rPr>
        <w:t xml:space="preserve"> tras concluir su misión en el país. </w:t>
      </w:r>
    </w:p>
    <w:p w:rsidR="002327FF" w:rsidRPr="002C09BB" w:rsidRDefault="008027BA" w:rsidP="002327FF">
      <w:pPr>
        <w:spacing w:after="0"/>
        <w:jc w:val="both"/>
        <w:rPr>
          <w:rFonts w:cstheme="minorHAnsi"/>
          <w:sz w:val="25"/>
          <w:szCs w:val="25"/>
        </w:rPr>
      </w:pPr>
      <w:r w:rsidRPr="002C09BB">
        <w:rPr>
          <w:rFonts w:cstheme="minorHAnsi"/>
          <w:sz w:val="25"/>
          <w:szCs w:val="25"/>
        </w:rPr>
        <w:t xml:space="preserve">La breve pero emotiva </w:t>
      </w:r>
      <w:r w:rsidR="00514516" w:rsidRPr="002C09BB">
        <w:rPr>
          <w:rFonts w:cstheme="minorHAnsi"/>
          <w:sz w:val="25"/>
          <w:szCs w:val="25"/>
        </w:rPr>
        <w:t xml:space="preserve">formalidad </w:t>
      </w:r>
      <w:r w:rsidRPr="002C09BB">
        <w:rPr>
          <w:rFonts w:cstheme="minorHAnsi"/>
          <w:sz w:val="25"/>
          <w:szCs w:val="25"/>
        </w:rPr>
        <w:t xml:space="preserve">tuvo lugar en la </w:t>
      </w:r>
      <w:r w:rsidR="000F29B4" w:rsidRPr="002C09BB">
        <w:rPr>
          <w:rFonts w:cstheme="minorHAnsi"/>
          <w:sz w:val="25"/>
          <w:szCs w:val="25"/>
        </w:rPr>
        <w:t xml:space="preserve">tarde de hoy en la </w:t>
      </w:r>
      <w:r w:rsidRPr="002C09BB">
        <w:rPr>
          <w:rFonts w:cstheme="minorHAnsi"/>
          <w:sz w:val="25"/>
          <w:szCs w:val="25"/>
        </w:rPr>
        <w:t>sede de</w:t>
      </w:r>
      <w:r w:rsidR="00993A82">
        <w:rPr>
          <w:rFonts w:cstheme="minorHAnsi"/>
          <w:sz w:val="25"/>
          <w:szCs w:val="25"/>
        </w:rPr>
        <w:t xml:space="preserve"> este departamento ministerial </w:t>
      </w:r>
      <w:r w:rsidRPr="002C09BB">
        <w:rPr>
          <w:rFonts w:cstheme="minorHAnsi"/>
          <w:sz w:val="25"/>
          <w:szCs w:val="25"/>
        </w:rPr>
        <w:t xml:space="preserve">en Malabo II, en una </w:t>
      </w:r>
      <w:r w:rsidR="000F29B4" w:rsidRPr="002C09BB">
        <w:rPr>
          <w:rFonts w:cstheme="minorHAnsi"/>
          <w:sz w:val="25"/>
          <w:szCs w:val="25"/>
        </w:rPr>
        <w:t>última</w:t>
      </w:r>
      <w:r w:rsidRPr="002C09BB">
        <w:rPr>
          <w:rFonts w:cstheme="minorHAnsi"/>
          <w:sz w:val="25"/>
          <w:szCs w:val="25"/>
        </w:rPr>
        <w:t xml:space="preserve"> audiencia concedida por el jefe de la diplomacia ecuatoguineana </w:t>
      </w:r>
      <w:r w:rsidRPr="002C09BB">
        <w:rPr>
          <w:rFonts w:cstheme="minorHAnsi"/>
          <w:b/>
          <w:sz w:val="25"/>
          <w:szCs w:val="25"/>
        </w:rPr>
        <w:t xml:space="preserve">Simeón </w:t>
      </w:r>
      <w:proofErr w:type="spellStart"/>
      <w:r w:rsidRPr="002C09BB">
        <w:rPr>
          <w:rFonts w:cstheme="minorHAnsi"/>
          <w:b/>
          <w:sz w:val="25"/>
          <w:szCs w:val="25"/>
        </w:rPr>
        <w:t>Oyono</w:t>
      </w:r>
      <w:proofErr w:type="spellEnd"/>
      <w:r w:rsidRPr="002C09BB">
        <w:rPr>
          <w:rFonts w:cstheme="minorHAnsi"/>
          <w:b/>
          <w:sz w:val="25"/>
          <w:szCs w:val="25"/>
        </w:rPr>
        <w:t xml:space="preserve"> </w:t>
      </w:r>
      <w:proofErr w:type="spellStart"/>
      <w:r w:rsidRPr="002C09BB">
        <w:rPr>
          <w:rFonts w:cstheme="minorHAnsi"/>
          <w:b/>
          <w:sz w:val="25"/>
          <w:szCs w:val="25"/>
        </w:rPr>
        <w:t>Esono</w:t>
      </w:r>
      <w:proofErr w:type="spellEnd"/>
      <w:r w:rsidRPr="002C09BB">
        <w:rPr>
          <w:rFonts w:cstheme="minorHAnsi"/>
          <w:b/>
          <w:sz w:val="25"/>
          <w:szCs w:val="25"/>
        </w:rPr>
        <w:t xml:space="preserve"> </w:t>
      </w:r>
      <w:proofErr w:type="spellStart"/>
      <w:r w:rsidRPr="002C09BB">
        <w:rPr>
          <w:rFonts w:cstheme="minorHAnsi"/>
          <w:b/>
          <w:sz w:val="25"/>
          <w:szCs w:val="25"/>
        </w:rPr>
        <w:t>Angué</w:t>
      </w:r>
      <w:proofErr w:type="spellEnd"/>
      <w:r w:rsidR="00F279EF" w:rsidRPr="002C09BB">
        <w:rPr>
          <w:rFonts w:cstheme="minorHAnsi"/>
          <w:b/>
          <w:sz w:val="25"/>
          <w:szCs w:val="25"/>
        </w:rPr>
        <w:t>,</w:t>
      </w:r>
      <w:r w:rsidR="00167CA4" w:rsidRPr="002C09BB">
        <w:rPr>
          <w:rFonts w:cstheme="minorHAnsi"/>
          <w:sz w:val="25"/>
          <w:szCs w:val="25"/>
        </w:rPr>
        <w:t xml:space="preserve"> al </w:t>
      </w:r>
      <w:r w:rsidR="00514516" w:rsidRPr="002C09BB">
        <w:rPr>
          <w:rFonts w:cstheme="minorHAnsi"/>
          <w:sz w:val="25"/>
          <w:szCs w:val="25"/>
        </w:rPr>
        <w:t xml:space="preserve">decano del cuerpo </w:t>
      </w:r>
      <w:r w:rsidR="00167CA4" w:rsidRPr="002C09BB">
        <w:rPr>
          <w:rFonts w:cstheme="minorHAnsi"/>
          <w:sz w:val="25"/>
          <w:szCs w:val="25"/>
        </w:rPr>
        <w:t>diplomático</w:t>
      </w:r>
      <w:r w:rsidR="00514516" w:rsidRPr="002C09BB">
        <w:rPr>
          <w:rFonts w:cstheme="minorHAnsi"/>
          <w:sz w:val="25"/>
          <w:szCs w:val="25"/>
        </w:rPr>
        <w:t xml:space="preserve"> en </w:t>
      </w:r>
      <w:r w:rsidR="00C619C1">
        <w:rPr>
          <w:rFonts w:cstheme="minorHAnsi"/>
          <w:sz w:val="25"/>
          <w:szCs w:val="25"/>
        </w:rPr>
        <w:t>plaza</w:t>
      </w:r>
      <w:r w:rsidR="002327FF">
        <w:rPr>
          <w:rFonts w:cstheme="minorHAnsi"/>
          <w:sz w:val="25"/>
          <w:szCs w:val="25"/>
        </w:rPr>
        <w:t>, durante la cual e</w:t>
      </w:r>
      <w:r w:rsidR="002327FF" w:rsidRPr="002C09BB">
        <w:rPr>
          <w:rFonts w:cstheme="minorHAnsi"/>
          <w:sz w:val="25"/>
          <w:szCs w:val="25"/>
        </w:rPr>
        <w:t>l diplomático guineano no ocultó su satisfacción por el “recibimiento</w:t>
      </w:r>
      <w:r w:rsidR="002327FF">
        <w:rPr>
          <w:rFonts w:cstheme="minorHAnsi"/>
          <w:sz w:val="25"/>
          <w:szCs w:val="25"/>
        </w:rPr>
        <w:t xml:space="preserve"> y </w:t>
      </w:r>
      <w:r w:rsidR="002327FF" w:rsidRPr="002C09BB">
        <w:rPr>
          <w:rFonts w:cstheme="minorHAnsi"/>
          <w:sz w:val="25"/>
          <w:szCs w:val="25"/>
        </w:rPr>
        <w:t xml:space="preserve">buen trato” del que fue objeto desde su llegada al país, lo que le anima añade, a “seguir defendiendo la realidad de Guinea Ecuatorial”, donde quiera que vaya a prestar sus funciones.  </w:t>
      </w:r>
    </w:p>
    <w:p w:rsidR="003D6F27" w:rsidRPr="002C09BB" w:rsidRDefault="003D6F27" w:rsidP="003D6F27">
      <w:pPr>
        <w:spacing w:after="0"/>
        <w:jc w:val="both"/>
        <w:rPr>
          <w:rFonts w:cstheme="minorHAnsi"/>
          <w:sz w:val="25"/>
          <w:szCs w:val="25"/>
        </w:rPr>
      </w:pPr>
      <w:r w:rsidRPr="002C09BB">
        <w:rPr>
          <w:rFonts w:cstheme="minorHAnsi"/>
          <w:sz w:val="25"/>
          <w:szCs w:val="25"/>
        </w:rPr>
        <w:t>En el clímax de sus conversaciones</w:t>
      </w:r>
      <w:r>
        <w:rPr>
          <w:rFonts w:cstheme="minorHAnsi"/>
          <w:sz w:val="25"/>
          <w:szCs w:val="25"/>
        </w:rPr>
        <w:t>,</w:t>
      </w:r>
      <w:r w:rsidRPr="002C09BB">
        <w:rPr>
          <w:rFonts w:cstheme="minorHAnsi"/>
          <w:sz w:val="25"/>
          <w:szCs w:val="25"/>
        </w:rPr>
        <w:t xml:space="preserve"> ambas personalidades coincidieron en la necesidad de  que los países africanos tengan una única voz</w:t>
      </w:r>
      <w:r w:rsidR="00D959FB">
        <w:rPr>
          <w:rFonts w:cstheme="minorHAnsi"/>
          <w:sz w:val="25"/>
          <w:szCs w:val="25"/>
        </w:rPr>
        <w:t xml:space="preserve"> en el contexto internacional </w:t>
      </w:r>
      <w:r w:rsidRPr="002C09BB">
        <w:rPr>
          <w:rFonts w:cstheme="minorHAnsi"/>
          <w:sz w:val="25"/>
          <w:szCs w:val="25"/>
        </w:rPr>
        <w:t xml:space="preserve">y rechacen cualquier tipo de injerencia externa y </w:t>
      </w:r>
      <w:r w:rsidR="00BE6A40">
        <w:rPr>
          <w:rFonts w:cstheme="minorHAnsi"/>
          <w:sz w:val="25"/>
          <w:szCs w:val="25"/>
        </w:rPr>
        <w:t xml:space="preserve">refuercen el </w:t>
      </w:r>
      <w:r w:rsidRPr="002C09BB">
        <w:rPr>
          <w:rFonts w:cstheme="minorHAnsi"/>
          <w:sz w:val="25"/>
          <w:szCs w:val="25"/>
        </w:rPr>
        <w:t xml:space="preserve">compromiso de </w:t>
      </w:r>
      <w:r w:rsidR="00BE6A40">
        <w:rPr>
          <w:rFonts w:cstheme="minorHAnsi"/>
          <w:sz w:val="25"/>
          <w:szCs w:val="25"/>
        </w:rPr>
        <w:t>seguir fortaleciendo constantemente la cooperación entre sus respectivos Estados.</w:t>
      </w:r>
      <w:r w:rsidRPr="002C09BB">
        <w:rPr>
          <w:rFonts w:cstheme="minorHAnsi"/>
          <w:sz w:val="25"/>
          <w:szCs w:val="25"/>
        </w:rPr>
        <w:t xml:space="preserve"> </w:t>
      </w:r>
      <w:r w:rsidR="00AF22AE">
        <w:rPr>
          <w:rFonts w:cstheme="minorHAnsi"/>
          <w:sz w:val="25"/>
          <w:szCs w:val="25"/>
        </w:rPr>
        <w:t xml:space="preserve">A lo que el </w:t>
      </w:r>
      <w:r w:rsidRPr="002C09BB">
        <w:rPr>
          <w:rFonts w:cstheme="minorHAnsi"/>
          <w:sz w:val="25"/>
          <w:szCs w:val="25"/>
        </w:rPr>
        <w:t xml:space="preserve">ministro de Exteriores agradeció </w:t>
      </w:r>
      <w:r w:rsidR="00BE6A40">
        <w:rPr>
          <w:rFonts w:cstheme="minorHAnsi"/>
          <w:sz w:val="25"/>
          <w:szCs w:val="25"/>
        </w:rPr>
        <w:t>“</w:t>
      </w:r>
      <w:r w:rsidR="00AF22AE">
        <w:rPr>
          <w:rFonts w:cstheme="minorHAnsi"/>
          <w:sz w:val="25"/>
          <w:szCs w:val="25"/>
        </w:rPr>
        <w:t>la labor llevada</w:t>
      </w:r>
      <w:r w:rsidRPr="002C09BB">
        <w:rPr>
          <w:rFonts w:cstheme="minorHAnsi"/>
          <w:sz w:val="25"/>
          <w:szCs w:val="25"/>
        </w:rPr>
        <w:t xml:space="preserve"> a cabo</w:t>
      </w:r>
      <w:r w:rsidR="00BE6A40">
        <w:rPr>
          <w:rFonts w:cstheme="minorHAnsi"/>
          <w:sz w:val="25"/>
          <w:szCs w:val="25"/>
        </w:rPr>
        <w:t>”</w:t>
      </w:r>
      <w:r w:rsidRPr="002C09BB">
        <w:rPr>
          <w:rFonts w:cstheme="minorHAnsi"/>
          <w:sz w:val="25"/>
          <w:szCs w:val="25"/>
        </w:rPr>
        <w:t xml:space="preserve"> por </w:t>
      </w:r>
      <w:proofErr w:type="spellStart"/>
      <w:r w:rsidRPr="002C09BB">
        <w:rPr>
          <w:rFonts w:cstheme="minorHAnsi"/>
          <w:b/>
          <w:sz w:val="25"/>
          <w:szCs w:val="25"/>
        </w:rPr>
        <w:t>Tiany</w:t>
      </w:r>
      <w:proofErr w:type="spellEnd"/>
      <w:r w:rsidRPr="002C09BB">
        <w:rPr>
          <w:rFonts w:cstheme="minorHAnsi"/>
          <w:b/>
          <w:sz w:val="25"/>
          <w:szCs w:val="25"/>
        </w:rPr>
        <w:t xml:space="preserve"> </w:t>
      </w:r>
      <w:proofErr w:type="spellStart"/>
      <w:r w:rsidRPr="002C09BB">
        <w:rPr>
          <w:rFonts w:cstheme="minorHAnsi"/>
          <w:b/>
          <w:sz w:val="25"/>
          <w:szCs w:val="25"/>
        </w:rPr>
        <w:t>Doumbouya</w:t>
      </w:r>
      <w:proofErr w:type="spellEnd"/>
      <w:r w:rsidRPr="002C09BB">
        <w:rPr>
          <w:rFonts w:cstheme="minorHAnsi"/>
          <w:b/>
          <w:sz w:val="25"/>
          <w:szCs w:val="25"/>
        </w:rPr>
        <w:t xml:space="preserve">, </w:t>
      </w:r>
      <w:r w:rsidRPr="002C09BB">
        <w:rPr>
          <w:rFonts w:cstheme="minorHAnsi"/>
          <w:sz w:val="25"/>
          <w:szCs w:val="25"/>
        </w:rPr>
        <w:t xml:space="preserve">por lo que matizó, “ha sido un placer haber trabajando juntos en la búsqueda de objetivos comunes” en beneficio de ambos pueblos.  </w:t>
      </w:r>
    </w:p>
    <w:p w:rsidR="003D6F27" w:rsidRDefault="00F279EF" w:rsidP="002C09BB">
      <w:pPr>
        <w:spacing w:after="0"/>
        <w:jc w:val="both"/>
        <w:rPr>
          <w:rFonts w:cstheme="minorHAnsi"/>
          <w:sz w:val="25"/>
          <w:szCs w:val="25"/>
        </w:rPr>
      </w:pPr>
      <w:r w:rsidRPr="002C09BB">
        <w:rPr>
          <w:rFonts w:cstheme="minorHAnsi"/>
          <w:sz w:val="25"/>
          <w:szCs w:val="25"/>
        </w:rPr>
        <w:t>Durante el transcurso de su misión en el país, la cual duró casi once años,</w:t>
      </w:r>
      <w:r w:rsidRPr="002C09BB">
        <w:rPr>
          <w:rFonts w:cstheme="minorHAnsi"/>
          <w:b/>
          <w:sz w:val="25"/>
          <w:szCs w:val="25"/>
        </w:rPr>
        <w:t xml:space="preserve"> </w:t>
      </w:r>
      <w:proofErr w:type="spellStart"/>
      <w:r w:rsidR="00AF19BC" w:rsidRPr="002C09BB">
        <w:rPr>
          <w:rFonts w:cstheme="minorHAnsi"/>
          <w:b/>
          <w:sz w:val="25"/>
          <w:szCs w:val="25"/>
        </w:rPr>
        <w:t>Tiany</w:t>
      </w:r>
      <w:proofErr w:type="spellEnd"/>
      <w:r w:rsidR="00AF19BC" w:rsidRPr="002C09BB">
        <w:rPr>
          <w:rFonts w:cstheme="minorHAnsi"/>
          <w:b/>
          <w:sz w:val="25"/>
          <w:szCs w:val="25"/>
        </w:rPr>
        <w:t xml:space="preserve"> </w:t>
      </w:r>
      <w:proofErr w:type="spellStart"/>
      <w:r w:rsidR="00AF19BC" w:rsidRPr="002C09BB">
        <w:rPr>
          <w:rFonts w:cstheme="minorHAnsi"/>
          <w:b/>
          <w:sz w:val="25"/>
          <w:szCs w:val="25"/>
        </w:rPr>
        <w:t>Doumbouya</w:t>
      </w:r>
      <w:proofErr w:type="spellEnd"/>
      <w:r w:rsidR="00AF19BC" w:rsidRPr="002C09BB">
        <w:rPr>
          <w:rFonts w:cstheme="minorHAnsi"/>
          <w:b/>
          <w:sz w:val="25"/>
          <w:szCs w:val="25"/>
        </w:rPr>
        <w:t xml:space="preserve"> </w:t>
      </w:r>
      <w:r w:rsidR="00AF19BC" w:rsidRPr="002C09BB">
        <w:rPr>
          <w:rFonts w:cstheme="minorHAnsi"/>
          <w:sz w:val="25"/>
          <w:szCs w:val="25"/>
        </w:rPr>
        <w:t>dijo ser</w:t>
      </w:r>
      <w:r w:rsidR="00993A82">
        <w:rPr>
          <w:rFonts w:cstheme="minorHAnsi"/>
          <w:sz w:val="25"/>
          <w:szCs w:val="25"/>
        </w:rPr>
        <w:t xml:space="preserve"> “</w:t>
      </w:r>
      <w:r w:rsidR="00AF19BC" w:rsidRPr="002C09BB">
        <w:rPr>
          <w:rFonts w:cstheme="minorHAnsi"/>
          <w:sz w:val="25"/>
          <w:szCs w:val="25"/>
        </w:rPr>
        <w:t>testigo presencial de la evolución que en tan poco tiemp</w:t>
      </w:r>
      <w:r w:rsidRPr="002C09BB">
        <w:rPr>
          <w:rFonts w:cstheme="minorHAnsi"/>
          <w:sz w:val="25"/>
          <w:szCs w:val="25"/>
        </w:rPr>
        <w:t>o ha conocido Guinea Ecuatorial, sobre todo en el último decenio</w:t>
      </w:r>
      <w:r w:rsidR="00993A82">
        <w:rPr>
          <w:rFonts w:cstheme="minorHAnsi"/>
          <w:sz w:val="25"/>
          <w:szCs w:val="25"/>
        </w:rPr>
        <w:t>”</w:t>
      </w:r>
      <w:r w:rsidR="003D6F27">
        <w:rPr>
          <w:rFonts w:cstheme="minorHAnsi"/>
          <w:sz w:val="25"/>
          <w:szCs w:val="25"/>
        </w:rPr>
        <w:t xml:space="preserve">; </w:t>
      </w:r>
      <w:r w:rsidR="00A94F9A">
        <w:rPr>
          <w:rFonts w:cstheme="minorHAnsi"/>
          <w:sz w:val="25"/>
          <w:szCs w:val="25"/>
        </w:rPr>
        <w:t xml:space="preserve">la cual ha pasado </w:t>
      </w:r>
      <w:r w:rsidR="003D6F27">
        <w:rPr>
          <w:rFonts w:cstheme="minorHAnsi"/>
          <w:sz w:val="25"/>
          <w:szCs w:val="25"/>
        </w:rPr>
        <w:t xml:space="preserve">de ser </w:t>
      </w:r>
      <w:r w:rsidRPr="002C09BB">
        <w:rPr>
          <w:rFonts w:cstheme="minorHAnsi"/>
          <w:sz w:val="25"/>
          <w:szCs w:val="25"/>
        </w:rPr>
        <w:t>“</w:t>
      </w:r>
      <w:r w:rsidR="00AF19BC" w:rsidRPr="002C09BB">
        <w:rPr>
          <w:rFonts w:cstheme="minorHAnsi"/>
          <w:sz w:val="25"/>
          <w:szCs w:val="25"/>
        </w:rPr>
        <w:t>uno de los países menos avanzados</w:t>
      </w:r>
      <w:r w:rsidR="00993A82">
        <w:rPr>
          <w:rFonts w:cstheme="minorHAnsi"/>
          <w:sz w:val="25"/>
          <w:szCs w:val="25"/>
        </w:rPr>
        <w:t>”</w:t>
      </w:r>
      <w:r w:rsidR="00AF19BC" w:rsidRPr="002C09BB">
        <w:rPr>
          <w:rFonts w:cstheme="minorHAnsi"/>
          <w:sz w:val="25"/>
          <w:szCs w:val="25"/>
        </w:rPr>
        <w:t xml:space="preserve"> del continente a la actual situación de </w:t>
      </w:r>
      <w:r w:rsidR="00993A82">
        <w:rPr>
          <w:rFonts w:cstheme="minorHAnsi"/>
          <w:sz w:val="25"/>
          <w:szCs w:val="25"/>
        </w:rPr>
        <w:t>“</w:t>
      </w:r>
      <w:r w:rsidR="00AF19BC" w:rsidRPr="002C09BB">
        <w:rPr>
          <w:rFonts w:cstheme="minorHAnsi"/>
          <w:sz w:val="25"/>
          <w:szCs w:val="25"/>
        </w:rPr>
        <w:t>ejemplo de desarrollo a nivel regional</w:t>
      </w:r>
      <w:r w:rsidR="00993A82">
        <w:rPr>
          <w:rFonts w:cstheme="minorHAnsi"/>
          <w:sz w:val="25"/>
          <w:szCs w:val="25"/>
        </w:rPr>
        <w:t>”. Evocó el</w:t>
      </w:r>
      <w:r w:rsidR="00AF19BC" w:rsidRPr="002C09BB">
        <w:rPr>
          <w:rFonts w:cstheme="minorHAnsi"/>
          <w:sz w:val="25"/>
          <w:szCs w:val="25"/>
        </w:rPr>
        <w:t xml:space="preserve"> papel </w:t>
      </w:r>
      <w:proofErr w:type="spellStart"/>
      <w:r w:rsidR="00AF19BC" w:rsidRPr="00993A82">
        <w:rPr>
          <w:rFonts w:cstheme="minorHAnsi"/>
          <w:i/>
          <w:sz w:val="25"/>
          <w:szCs w:val="25"/>
        </w:rPr>
        <w:t>panafricanista</w:t>
      </w:r>
      <w:proofErr w:type="spellEnd"/>
      <w:r w:rsidR="00AF19BC" w:rsidRPr="00993A82">
        <w:rPr>
          <w:rFonts w:cstheme="minorHAnsi"/>
          <w:i/>
          <w:sz w:val="25"/>
          <w:szCs w:val="25"/>
        </w:rPr>
        <w:t xml:space="preserve"> </w:t>
      </w:r>
      <w:r w:rsidR="00AF19BC" w:rsidRPr="002C09BB">
        <w:rPr>
          <w:rFonts w:cstheme="minorHAnsi"/>
          <w:sz w:val="25"/>
          <w:szCs w:val="25"/>
        </w:rPr>
        <w:t>del país y su  jefe de Estado</w:t>
      </w:r>
      <w:r w:rsidRPr="002C09BB">
        <w:rPr>
          <w:rFonts w:cstheme="minorHAnsi"/>
          <w:sz w:val="25"/>
          <w:szCs w:val="25"/>
        </w:rPr>
        <w:t>,</w:t>
      </w:r>
      <w:r w:rsidR="00AF19BC" w:rsidRPr="002C09BB">
        <w:rPr>
          <w:rFonts w:cstheme="minorHAnsi"/>
          <w:sz w:val="25"/>
          <w:szCs w:val="25"/>
        </w:rPr>
        <w:t xml:space="preserve"> al evitar</w:t>
      </w:r>
      <w:r w:rsidR="00993A82">
        <w:rPr>
          <w:rFonts w:cstheme="minorHAnsi"/>
          <w:sz w:val="25"/>
          <w:szCs w:val="25"/>
        </w:rPr>
        <w:t xml:space="preserve"> apuntó, </w:t>
      </w:r>
      <w:r w:rsidR="00AF19BC" w:rsidRPr="002C09BB">
        <w:rPr>
          <w:rFonts w:cstheme="minorHAnsi"/>
          <w:sz w:val="25"/>
          <w:szCs w:val="25"/>
        </w:rPr>
        <w:t xml:space="preserve"> la </w:t>
      </w:r>
      <w:r w:rsidR="00E8502E" w:rsidRPr="002C09BB">
        <w:rPr>
          <w:rFonts w:cstheme="minorHAnsi"/>
          <w:sz w:val="25"/>
          <w:szCs w:val="25"/>
        </w:rPr>
        <w:t xml:space="preserve">posible </w:t>
      </w:r>
      <w:r w:rsidR="00993A82">
        <w:rPr>
          <w:rFonts w:cstheme="minorHAnsi"/>
          <w:sz w:val="25"/>
          <w:szCs w:val="25"/>
        </w:rPr>
        <w:t>“</w:t>
      </w:r>
      <w:r w:rsidRPr="002C09BB">
        <w:rPr>
          <w:rFonts w:cstheme="minorHAnsi"/>
          <w:sz w:val="25"/>
          <w:szCs w:val="25"/>
        </w:rPr>
        <w:t xml:space="preserve">cortedad </w:t>
      </w:r>
      <w:r w:rsidR="00AF19BC" w:rsidRPr="002C09BB">
        <w:rPr>
          <w:rFonts w:cstheme="minorHAnsi"/>
          <w:sz w:val="25"/>
          <w:szCs w:val="25"/>
        </w:rPr>
        <w:t>del continente</w:t>
      </w:r>
      <w:r w:rsidR="00993A82">
        <w:rPr>
          <w:rFonts w:cstheme="minorHAnsi"/>
          <w:sz w:val="25"/>
          <w:szCs w:val="25"/>
        </w:rPr>
        <w:t>”</w:t>
      </w:r>
      <w:r w:rsidR="00AF19BC" w:rsidRPr="002C09BB">
        <w:rPr>
          <w:rFonts w:cstheme="minorHAnsi"/>
          <w:sz w:val="25"/>
          <w:szCs w:val="25"/>
        </w:rPr>
        <w:t xml:space="preserve"> </w:t>
      </w:r>
      <w:r w:rsidR="003D6F27" w:rsidRPr="002C09BB">
        <w:rPr>
          <w:rFonts w:cstheme="minorHAnsi"/>
          <w:sz w:val="25"/>
          <w:szCs w:val="25"/>
        </w:rPr>
        <w:t xml:space="preserve">en plena época ebullición del </w:t>
      </w:r>
      <w:proofErr w:type="spellStart"/>
      <w:r w:rsidR="003D6F27" w:rsidRPr="002C09BB">
        <w:rPr>
          <w:rFonts w:cstheme="minorHAnsi"/>
          <w:sz w:val="25"/>
          <w:szCs w:val="25"/>
        </w:rPr>
        <w:t>Ébola</w:t>
      </w:r>
      <w:proofErr w:type="spellEnd"/>
      <w:r w:rsidR="003D6F27">
        <w:rPr>
          <w:rFonts w:cstheme="minorHAnsi"/>
          <w:sz w:val="25"/>
          <w:szCs w:val="25"/>
        </w:rPr>
        <w:t>,</w:t>
      </w:r>
      <w:r w:rsidR="003D6F27" w:rsidRPr="002C09BB">
        <w:rPr>
          <w:rFonts w:cstheme="minorHAnsi"/>
          <w:sz w:val="25"/>
          <w:szCs w:val="25"/>
        </w:rPr>
        <w:t xml:space="preserve"> </w:t>
      </w:r>
      <w:r w:rsidR="003D6F27">
        <w:rPr>
          <w:rFonts w:cstheme="minorHAnsi"/>
          <w:sz w:val="25"/>
          <w:szCs w:val="25"/>
        </w:rPr>
        <w:t xml:space="preserve"> </w:t>
      </w:r>
      <w:r w:rsidR="00AF19BC" w:rsidRPr="002C09BB">
        <w:rPr>
          <w:rFonts w:cstheme="minorHAnsi"/>
          <w:sz w:val="25"/>
          <w:szCs w:val="25"/>
        </w:rPr>
        <w:t xml:space="preserve">al acoger la organización de la </w:t>
      </w:r>
      <w:r w:rsidRPr="002C09BB">
        <w:rPr>
          <w:rFonts w:cstheme="minorHAnsi"/>
          <w:sz w:val="25"/>
          <w:szCs w:val="25"/>
        </w:rPr>
        <w:t xml:space="preserve">trigésima edición de la </w:t>
      </w:r>
      <w:r w:rsidR="00AF19BC" w:rsidRPr="002C09BB">
        <w:rPr>
          <w:rFonts w:cstheme="minorHAnsi"/>
          <w:sz w:val="25"/>
          <w:szCs w:val="25"/>
        </w:rPr>
        <w:t xml:space="preserve">Copa de África de Naciones </w:t>
      </w:r>
      <w:r w:rsidRPr="002C09BB">
        <w:rPr>
          <w:rFonts w:cstheme="minorHAnsi"/>
          <w:sz w:val="25"/>
          <w:szCs w:val="25"/>
        </w:rPr>
        <w:t xml:space="preserve">- </w:t>
      </w:r>
      <w:r w:rsidR="00AF19BC" w:rsidRPr="002C09BB">
        <w:rPr>
          <w:rFonts w:cstheme="minorHAnsi"/>
          <w:sz w:val="25"/>
          <w:szCs w:val="25"/>
        </w:rPr>
        <w:t>2015</w:t>
      </w:r>
      <w:r w:rsidRPr="002C09BB">
        <w:rPr>
          <w:rFonts w:cstheme="minorHAnsi"/>
          <w:sz w:val="25"/>
          <w:szCs w:val="25"/>
        </w:rPr>
        <w:t>;</w:t>
      </w:r>
      <w:r w:rsidR="00CF45A6" w:rsidRPr="002C09BB">
        <w:rPr>
          <w:rFonts w:cstheme="minorHAnsi"/>
          <w:sz w:val="25"/>
          <w:szCs w:val="25"/>
        </w:rPr>
        <w:t xml:space="preserve"> </w:t>
      </w:r>
      <w:r w:rsidR="0032555E" w:rsidRPr="002C09BB">
        <w:rPr>
          <w:rFonts w:cstheme="minorHAnsi"/>
          <w:sz w:val="25"/>
          <w:szCs w:val="25"/>
        </w:rPr>
        <w:t xml:space="preserve">su papel en el contexto de la Unión Africana </w:t>
      </w:r>
      <w:r w:rsidRPr="002C09BB">
        <w:rPr>
          <w:rFonts w:cstheme="minorHAnsi"/>
          <w:sz w:val="25"/>
          <w:szCs w:val="25"/>
        </w:rPr>
        <w:t xml:space="preserve">(UA) </w:t>
      </w:r>
      <w:r w:rsidR="0032555E" w:rsidRPr="002C09BB">
        <w:rPr>
          <w:rFonts w:cstheme="minorHAnsi"/>
          <w:sz w:val="25"/>
          <w:szCs w:val="25"/>
        </w:rPr>
        <w:t xml:space="preserve">sobre todo el haber merecido ser el </w:t>
      </w:r>
      <w:proofErr w:type="spellStart"/>
      <w:r w:rsidR="0032555E" w:rsidRPr="002C09BB">
        <w:rPr>
          <w:rFonts w:cstheme="minorHAnsi"/>
          <w:i/>
          <w:sz w:val="25"/>
          <w:szCs w:val="25"/>
        </w:rPr>
        <w:t>champion</w:t>
      </w:r>
      <w:proofErr w:type="spellEnd"/>
      <w:r w:rsidR="0032555E" w:rsidRPr="002C09BB">
        <w:rPr>
          <w:rFonts w:cstheme="minorHAnsi"/>
          <w:sz w:val="25"/>
          <w:szCs w:val="25"/>
        </w:rPr>
        <w:t xml:space="preserve"> en el tema de los refugiados, repatriados y personas internamente desplazadas</w:t>
      </w:r>
      <w:r w:rsidRPr="002C09BB">
        <w:rPr>
          <w:rFonts w:cstheme="minorHAnsi"/>
          <w:sz w:val="25"/>
          <w:szCs w:val="25"/>
        </w:rPr>
        <w:t xml:space="preserve">, </w:t>
      </w:r>
      <w:r w:rsidR="003D6F27" w:rsidRPr="002C09BB">
        <w:rPr>
          <w:rFonts w:cstheme="minorHAnsi"/>
          <w:sz w:val="25"/>
          <w:szCs w:val="25"/>
        </w:rPr>
        <w:t xml:space="preserve">así como </w:t>
      </w:r>
      <w:r w:rsidR="00A94F9A">
        <w:rPr>
          <w:rFonts w:cstheme="minorHAnsi"/>
          <w:sz w:val="25"/>
          <w:szCs w:val="25"/>
        </w:rPr>
        <w:t xml:space="preserve">la apuesta de la nación centroafricana </w:t>
      </w:r>
      <w:r w:rsidR="00E8502E" w:rsidRPr="002C09BB">
        <w:rPr>
          <w:rFonts w:cstheme="minorHAnsi"/>
          <w:sz w:val="25"/>
          <w:szCs w:val="25"/>
        </w:rPr>
        <w:t>en la investigación en el contexto de la UNESCO</w:t>
      </w:r>
      <w:r w:rsidR="00A94F9A">
        <w:rPr>
          <w:rFonts w:cstheme="minorHAnsi"/>
          <w:sz w:val="25"/>
          <w:szCs w:val="25"/>
        </w:rPr>
        <w:t>,</w:t>
      </w:r>
      <w:r w:rsidR="00E8502E" w:rsidRPr="002C09BB">
        <w:rPr>
          <w:rFonts w:cstheme="minorHAnsi"/>
          <w:sz w:val="25"/>
          <w:szCs w:val="25"/>
        </w:rPr>
        <w:t xml:space="preserve"> a favor de las ciencias de la vida</w:t>
      </w:r>
      <w:r w:rsidRPr="002C09BB">
        <w:rPr>
          <w:rFonts w:cstheme="minorHAnsi"/>
          <w:sz w:val="25"/>
          <w:szCs w:val="25"/>
        </w:rPr>
        <w:t xml:space="preserve">. </w:t>
      </w:r>
    </w:p>
    <w:p w:rsidR="009C6D14" w:rsidRPr="002C09BB" w:rsidRDefault="009C6D14" w:rsidP="002C09BB">
      <w:pPr>
        <w:spacing w:after="0"/>
        <w:jc w:val="both"/>
        <w:rPr>
          <w:rFonts w:cstheme="minorHAnsi"/>
          <w:sz w:val="25"/>
          <w:szCs w:val="25"/>
        </w:rPr>
      </w:pPr>
      <w:r w:rsidRPr="002C09BB">
        <w:rPr>
          <w:rFonts w:cstheme="minorHAnsi"/>
          <w:sz w:val="25"/>
          <w:szCs w:val="25"/>
        </w:rPr>
        <w:t xml:space="preserve">El </w:t>
      </w:r>
      <w:r w:rsidR="002C09BB" w:rsidRPr="002C09BB">
        <w:rPr>
          <w:rFonts w:cstheme="minorHAnsi"/>
          <w:sz w:val="25"/>
          <w:szCs w:val="25"/>
        </w:rPr>
        <w:t>p</w:t>
      </w:r>
      <w:r w:rsidRPr="002C09BB">
        <w:rPr>
          <w:rFonts w:cstheme="minorHAnsi"/>
          <w:sz w:val="25"/>
          <w:szCs w:val="25"/>
        </w:rPr>
        <w:t>rotocolo de entendimiento relativo a la firma de un convenio fiscal para evitar la doble imposición entre los dos países, el acuerdo de cooperación en el sector de agricultura, así como los protocolo de acuerdos, de cooperación entre los ministerios de Asuntos Sociales e Igualdad de Género y el de Acción Social, Promoción Femenina e Infancia</w:t>
      </w:r>
      <w:r w:rsidR="002C09BB" w:rsidRPr="002C09BB">
        <w:rPr>
          <w:rFonts w:cstheme="minorHAnsi"/>
          <w:sz w:val="25"/>
          <w:szCs w:val="25"/>
        </w:rPr>
        <w:t>;</w:t>
      </w:r>
      <w:r w:rsidRPr="002C09BB">
        <w:rPr>
          <w:rFonts w:cstheme="minorHAnsi"/>
          <w:sz w:val="25"/>
          <w:szCs w:val="25"/>
        </w:rPr>
        <w:t xml:space="preserve"> todos firmados en Conakry el 19 de junio de 2015, son algunos de los principales instrumentos vinculantes entre ambas Guineas. </w:t>
      </w:r>
    </w:p>
    <w:p w:rsidR="0006042D" w:rsidRPr="002C09BB" w:rsidRDefault="00093503" w:rsidP="002C697E">
      <w:pPr>
        <w:jc w:val="center"/>
        <w:rPr>
          <w:sz w:val="25"/>
          <w:szCs w:val="25"/>
        </w:rPr>
      </w:pPr>
      <w:r w:rsidRPr="002C09BB">
        <w:rPr>
          <w:sz w:val="25"/>
          <w:szCs w:val="25"/>
        </w:rPr>
        <w:t>Malabo,</w:t>
      </w:r>
      <w:r w:rsidR="002C697E" w:rsidRPr="002C09BB">
        <w:rPr>
          <w:sz w:val="25"/>
          <w:szCs w:val="25"/>
        </w:rPr>
        <w:t xml:space="preserve"> </w:t>
      </w:r>
      <w:r w:rsidR="001A49D1" w:rsidRPr="002C09BB">
        <w:rPr>
          <w:sz w:val="25"/>
          <w:szCs w:val="25"/>
        </w:rPr>
        <w:t>13 de octu</w:t>
      </w:r>
      <w:r w:rsidRPr="002C09BB">
        <w:rPr>
          <w:sz w:val="25"/>
          <w:szCs w:val="25"/>
        </w:rPr>
        <w:t>bre de 2022</w:t>
      </w:r>
    </w:p>
    <w:sectPr w:rsidR="0006042D" w:rsidRPr="002C09BB" w:rsidSect="00931093">
      <w:pgSz w:w="11906" w:h="16838"/>
      <w:pgMar w:top="0" w:right="991"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5DFF"/>
    <w:multiLevelType w:val="hybridMultilevel"/>
    <w:tmpl w:val="35C8967E"/>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E4E6FD6"/>
    <w:multiLevelType w:val="hybridMultilevel"/>
    <w:tmpl w:val="01C641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951CA0"/>
    <w:multiLevelType w:val="hybridMultilevel"/>
    <w:tmpl w:val="0BB46E5A"/>
    <w:lvl w:ilvl="0" w:tplc="0C0A000F">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7AA309B1"/>
    <w:multiLevelType w:val="hybridMultilevel"/>
    <w:tmpl w:val="46BAC3EE"/>
    <w:lvl w:ilvl="0" w:tplc="53C0587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useFELayout/>
  </w:compat>
  <w:rsids>
    <w:rsidRoot w:val="00F75DEC"/>
    <w:rsid w:val="000055A9"/>
    <w:rsid w:val="000070FA"/>
    <w:rsid w:val="0000754F"/>
    <w:rsid w:val="000370BB"/>
    <w:rsid w:val="00052A5A"/>
    <w:rsid w:val="00052CE0"/>
    <w:rsid w:val="00057BB5"/>
    <w:rsid w:val="0006042D"/>
    <w:rsid w:val="00070B21"/>
    <w:rsid w:val="00072CA0"/>
    <w:rsid w:val="00073E94"/>
    <w:rsid w:val="00093503"/>
    <w:rsid w:val="0009450C"/>
    <w:rsid w:val="000A60D9"/>
    <w:rsid w:val="000C12B1"/>
    <w:rsid w:val="000E036A"/>
    <w:rsid w:val="000E584A"/>
    <w:rsid w:val="000F29B4"/>
    <w:rsid w:val="000F6BAF"/>
    <w:rsid w:val="0010116D"/>
    <w:rsid w:val="0011305F"/>
    <w:rsid w:val="00114410"/>
    <w:rsid w:val="00114EA2"/>
    <w:rsid w:val="00121BBC"/>
    <w:rsid w:val="0014058D"/>
    <w:rsid w:val="001464B3"/>
    <w:rsid w:val="00146BCE"/>
    <w:rsid w:val="00157E89"/>
    <w:rsid w:val="00167CA4"/>
    <w:rsid w:val="00185FD0"/>
    <w:rsid w:val="001914E3"/>
    <w:rsid w:val="001925FA"/>
    <w:rsid w:val="001A49D1"/>
    <w:rsid w:val="001A7EC0"/>
    <w:rsid w:val="001D7A9B"/>
    <w:rsid w:val="001F7AF8"/>
    <w:rsid w:val="00203240"/>
    <w:rsid w:val="00223ED0"/>
    <w:rsid w:val="002327FF"/>
    <w:rsid w:val="00247CAE"/>
    <w:rsid w:val="00273062"/>
    <w:rsid w:val="00280ECB"/>
    <w:rsid w:val="00283D56"/>
    <w:rsid w:val="002C03F1"/>
    <w:rsid w:val="002C09BB"/>
    <w:rsid w:val="002C12E7"/>
    <w:rsid w:val="002C697E"/>
    <w:rsid w:val="002D5ADE"/>
    <w:rsid w:val="00300DFA"/>
    <w:rsid w:val="003058A3"/>
    <w:rsid w:val="00315E58"/>
    <w:rsid w:val="0032555E"/>
    <w:rsid w:val="003274E1"/>
    <w:rsid w:val="0033764E"/>
    <w:rsid w:val="00350809"/>
    <w:rsid w:val="00351F47"/>
    <w:rsid w:val="00367D75"/>
    <w:rsid w:val="003744AD"/>
    <w:rsid w:val="00385D60"/>
    <w:rsid w:val="003C243F"/>
    <w:rsid w:val="003C29CB"/>
    <w:rsid w:val="003C42EE"/>
    <w:rsid w:val="003D6F27"/>
    <w:rsid w:val="00402B36"/>
    <w:rsid w:val="004037A4"/>
    <w:rsid w:val="00414B4A"/>
    <w:rsid w:val="004347B9"/>
    <w:rsid w:val="00465EDE"/>
    <w:rsid w:val="00475802"/>
    <w:rsid w:val="004845D2"/>
    <w:rsid w:val="00485A0B"/>
    <w:rsid w:val="004865C2"/>
    <w:rsid w:val="004A2199"/>
    <w:rsid w:val="004A7497"/>
    <w:rsid w:val="004C7823"/>
    <w:rsid w:val="004E170E"/>
    <w:rsid w:val="004E5D35"/>
    <w:rsid w:val="004F006A"/>
    <w:rsid w:val="004F4B6E"/>
    <w:rsid w:val="00514516"/>
    <w:rsid w:val="005301E1"/>
    <w:rsid w:val="0055036E"/>
    <w:rsid w:val="00551826"/>
    <w:rsid w:val="00561C86"/>
    <w:rsid w:val="005648D8"/>
    <w:rsid w:val="005652C1"/>
    <w:rsid w:val="005661FA"/>
    <w:rsid w:val="00581C89"/>
    <w:rsid w:val="00587A39"/>
    <w:rsid w:val="005929E2"/>
    <w:rsid w:val="005E0195"/>
    <w:rsid w:val="005E2FD8"/>
    <w:rsid w:val="005F581A"/>
    <w:rsid w:val="005F6642"/>
    <w:rsid w:val="00621AEF"/>
    <w:rsid w:val="00631AE2"/>
    <w:rsid w:val="00634E87"/>
    <w:rsid w:val="0064376C"/>
    <w:rsid w:val="0065225B"/>
    <w:rsid w:val="00673B24"/>
    <w:rsid w:val="00690E3E"/>
    <w:rsid w:val="006A2B1D"/>
    <w:rsid w:val="006B43D7"/>
    <w:rsid w:val="006C405E"/>
    <w:rsid w:val="006F2699"/>
    <w:rsid w:val="007121A9"/>
    <w:rsid w:val="0073564F"/>
    <w:rsid w:val="00752E38"/>
    <w:rsid w:val="00777703"/>
    <w:rsid w:val="007810EA"/>
    <w:rsid w:val="00796F6F"/>
    <w:rsid w:val="007A4C4E"/>
    <w:rsid w:val="007A66FB"/>
    <w:rsid w:val="007B1169"/>
    <w:rsid w:val="007B3E2C"/>
    <w:rsid w:val="007C6189"/>
    <w:rsid w:val="007F7DD2"/>
    <w:rsid w:val="008027BA"/>
    <w:rsid w:val="0081503E"/>
    <w:rsid w:val="00827DC0"/>
    <w:rsid w:val="00831349"/>
    <w:rsid w:val="00835DC0"/>
    <w:rsid w:val="00840674"/>
    <w:rsid w:val="00877366"/>
    <w:rsid w:val="008823DA"/>
    <w:rsid w:val="0088551C"/>
    <w:rsid w:val="008862AC"/>
    <w:rsid w:val="008969D1"/>
    <w:rsid w:val="00897F21"/>
    <w:rsid w:val="008A11D2"/>
    <w:rsid w:val="008A4C82"/>
    <w:rsid w:val="008F0705"/>
    <w:rsid w:val="008F4A83"/>
    <w:rsid w:val="0090329D"/>
    <w:rsid w:val="00916201"/>
    <w:rsid w:val="00931093"/>
    <w:rsid w:val="0093116E"/>
    <w:rsid w:val="009328E5"/>
    <w:rsid w:val="00956139"/>
    <w:rsid w:val="0097538B"/>
    <w:rsid w:val="00980A33"/>
    <w:rsid w:val="0098660E"/>
    <w:rsid w:val="0099388D"/>
    <w:rsid w:val="00993A82"/>
    <w:rsid w:val="009C2D56"/>
    <w:rsid w:val="009C3CC6"/>
    <w:rsid w:val="009C6D14"/>
    <w:rsid w:val="009F695D"/>
    <w:rsid w:val="00A03EC8"/>
    <w:rsid w:val="00A23F3C"/>
    <w:rsid w:val="00A34DF5"/>
    <w:rsid w:val="00A41233"/>
    <w:rsid w:val="00A52B0F"/>
    <w:rsid w:val="00A72BEA"/>
    <w:rsid w:val="00A8661E"/>
    <w:rsid w:val="00A900D5"/>
    <w:rsid w:val="00A94F9A"/>
    <w:rsid w:val="00AA11D9"/>
    <w:rsid w:val="00AA3DF8"/>
    <w:rsid w:val="00AB5FF7"/>
    <w:rsid w:val="00AC1479"/>
    <w:rsid w:val="00AD7429"/>
    <w:rsid w:val="00AE330E"/>
    <w:rsid w:val="00AE6DE7"/>
    <w:rsid w:val="00AF042E"/>
    <w:rsid w:val="00AF19BC"/>
    <w:rsid w:val="00AF22AE"/>
    <w:rsid w:val="00AF5A37"/>
    <w:rsid w:val="00AF7E7C"/>
    <w:rsid w:val="00B0567B"/>
    <w:rsid w:val="00B16E9B"/>
    <w:rsid w:val="00B25A7A"/>
    <w:rsid w:val="00B27E53"/>
    <w:rsid w:val="00B67CC0"/>
    <w:rsid w:val="00B7188E"/>
    <w:rsid w:val="00B836B1"/>
    <w:rsid w:val="00BA3DF0"/>
    <w:rsid w:val="00BA6772"/>
    <w:rsid w:val="00BB37B1"/>
    <w:rsid w:val="00BB643B"/>
    <w:rsid w:val="00BC1443"/>
    <w:rsid w:val="00BE6A40"/>
    <w:rsid w:val="00BF1C8D"/>
    <w:rsid w:val="00C10D0D"/>
    <w:rsid w:val="00C16294"/>
    <w:rsid w:val="00C20ED5"/>
    <w:rsid w:val="00C27A4D"/>
    <w:rsid w:val="00C37310"/>
    <w:rsid w:val="00C45BD2"/>
    <w:rsid w:val="00C557D2"/>
    <w:rsid w:val="00C619C1"/>
    <w:rsid w:val="00C6724A"/>
    <w:rsid w:val="00C752F3"/>
    <w:rsid w:val="00C8581F"/>
    <w:rsid w:val="00C94BAB"/>
    <w:rsid w:val="00CA0FAF"/>
    <w:rsid w:val="00CF16A5"/>
    <w:rsid w:val="00CF1858"/>
    <w:rsid w:val="00CF45A6"/>
    <w:rsid w:val="00D326F2"/>
    <w:rsid w:val="00D413FF"/>
    <w:rsid w:val="00D63DD9"/>
    <w:rsid w:val="00D707C0"/>
    <w:rsid w:val="00D946B8"/>
    <w:rsid w:val="00D950E2"/>
    <w:rsid w:val="00D959FB"/>
    <w:rsid w:val="00DD3CA6"/>
    <w:rsid w:val="00DE4557"/>
    <w:rsid w:val="00DE5858"/>
    <w:rsid w:val="00E13E68"/>
    <w:rsid w:val="00E31391"/>
    <w:rsid w:val="00E618B4"/>
    <w:rsid w:val="00E6798E"/>
    <w:rsid w:val="00E67C4F"/>
    <w:rsid w:val="00E73642"/>
    <w:rsid w:val="00E76C34"/>
    <w:rsid w:val="00E81492"/>
    <w:rsid w:val="00E8502E"/>
    <w:rsid w:val="00E962AA"/>
    <w:rsid w:val="00EC3F8D"/>
    <w:rsid w:val="00EC7D85"/>
    <w:rsid w:val="00ED3FE9"/>
    <w:rsid w:val="00ED6538"/>
    <w:rsid w:val="00EE4B5B"/>
    <w:rsid w:val="00EE61F3"/>
    <w:rsid w:val="00EE6534"/>
    <w:rsid w:val="00EF4E0C"/>
    <w:rsid w:val="00EF7467"/>
    <w:rsid w:val="00F02B47"/>
    <w:rsid w:val="00F02BF4"/>
    <w:rsid w:val="00F05D83"/>
    <w:rsid w:val="00F10A03"/>
    <w:rsid w:val="00F21DF3"/>
    <w:rsid w:val="00F279EF"/>
    <w:rsid w:val="00F322B3"/>
    <w:rsid w:val="00F75DEC"/>
    <w:rsid w:val="00F81EAA"/>
    <w:rsid w:val="00F90777"/>
    <w:rsid w:val="00F93971"/>
    <w:rsid w:val="00F93CEF"/>
    <w:rsid w:val="00FA3135"/>
    <w:rsid w:val="00FD3D0A"/>
    <w:rsid w:val="00FD722C"/>
    <w:rsid w:val="00FE4B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5DEC"/>
    <w:pPr>
      <w:ind w:left="720"/>
      <w:contextualSpacing/>
    </w:pPr>
  </w:style>
  <w:style w:type="paragraph" w:styleId="Textodeglobo">
    <w:name w:val="Balloon Text"/>
    <w:basedOn w:val="Normal"/>
    <w:link w:val="TextodegloboCar"/>
    <w:uiPriority w:val="99"/>
    <w:semiHidden/>
    <w:unhideWhenUsed/>
    <w:rsid w:val="00F75D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DEC"/>
    <w:rPr>
      <w:rFonts w:ascii="Tahoma" w:hAnsi="Tahoma" w:cs="Tahoma"/>
      <w:sz w:val="16"/>
      <w:szCs w:val="16"/>
    </w:rPr>
  </w:style>
  <w:style w:type="character" w:styleId="Hipervnculo">
    <w:name w:val="Hyperlink"/>
    <w:basedOn w:val="Fuentedeprrafopredeter"/>
    <w:uiPriority w:val="99"/>
    <w:semiHidden/>
    <w:unhideWhenUsed/>
    <w:rsid w:val="00AA11D9"/>
    <w:rPr>
      <w:color w:val="0000FF"/>
      <w:u w:val="single"/>
    </w:rPr>
  </w:style>
  <w:style w:type="character" w:styleId="nfasis">
    <w:name w:val="Emphasis"/>
    <w:basedOn w:val="Fuentedeprrafopredeter"/>
    <w:uiPriority w:val="20"/>
    <w:qFormat/>
    <w:rsid w:val="00AE6DE7"/>
    <w:rPr>
      <w:i/>
      <w:iCs/>
    </w:rPr>
  </w:style>
</w:styles>
</file>

<file path=word/webSettings.xml><?xml version="1.0" encoding="utf-8"?>
<w:webSettings xmlns:r="http://schemas.openxmlformats.org/officeDocument/2006/relationships" xmlns:w="http://schemas.openxmlformats.org/wordprocessingml/2006/main">
  <w:divs>
    <w:div w:id="3197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rmaciondiplomatic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9F263-8EE8-412F-930A-F0C6AE9A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Rivetaso 1</dc:creator>
  <cp:lastModifiedBy>centauroimagen1@outlook.es</cp:lastModifiedBy>
  <cp:revision>2</cp:revision>
  <cp:lastPrinted>2022-10-13T16:55:00Z</cp:lastPrinted>
  <dcterms:created xsi:type="dcterms:W3CDTF">2022-10-13T18:57:00Z</dcterms:created>
  <dcterms:modified xsi:type="dcterms:W3CDTF">2022-10-13T18:57:00Z</dcterms:modified>
</cp:coreProperties>
</file>